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FC1" w:rsidRDefault="00A50FC1" w:rsidP="00A50FC1">
      <w:pPr>
        <w:rPr>
          <w:rFonts w:ascii="Calibri" w:hAnsi="Calibri"/>
          <w:color w:val="1F497D"/>
        </w:rPr>
      </w:pPr>
      <w:r>
        <w:rPr>
          <w:rFonts w:ascii="Calibri" w:hAnsi="Calibri"/>
          <w:color w:val="1F497D"/>
        </w:rPr>
        <w:t xml:space="preserve">Comme indiqués dans mon précèdent mail, je me permets de vous renvoyer la liste des éléments restant en attente : </w:t>
      </w:r>
    </w:p>
    <w:p w:rsidR="00A50FC1" w:rsidRDefault="00A50FC1" w:rsidP="00A50FC1"/>
    <w:p w:rsidR="00A50FC1" w:rsidRDefault="00A50FC1" w:rsidP="00A50FC1"/>
    <w:p w:rsidR="00A50FC1" w:rsidRDefault="00A50FC1" w:rsidP="00A50FC1">
      <w:r>
        <w:t>Clients</w:t>
      </w:r>
    </w:p>
    <w:p w:rsidR="00A50FC1" w:rsidRDefault="00A50FC1" w:rsidP="00A50FC1">
      <w:pPr>
        <w:numPr>
          <w:ilvl w:val="0"/>
          <w:numId w:val="1"/>
        </w:numPr>
      </w:pPr>
      <w:proofErr w:type="gramStart"/>
      <w:r>
        <w:t>les</w:t>
      </w:r>
      <w:proofErr w:type="gramEnd"/>
      <w:r>
        <w:t xml:space="preserve"> justif portant sur les pertes sur créances irrécouvrables </w:t>
      </w:r>
    </w:p>
    <w:p w:rsidR="00A50FC1" w:rsidRDefault="00A50FC1" w:rsidP="00A50FC1">
      <w:pPr>
        <w:numPr>
          <w:ilvl w:val="0"/>
          <w:numId w:val="1"/>
        </w:numPr>
      </w:pPr>
      <w:proofErr w:type="gramStart"/>
      <w:r>
        <w:t>ainsi</w:t>
      </w:r>
      <w:proofErr w:type="gramEnd"/>
      <w:r>
        <w:t xml:space="preserve"> que l’état détaillé des douteux</w:t>
      </w:r>
    </w:p>
    <w:p w:rsidR="00A50FC1" w:rsidRDefault="00A50FC1" w:rsidP="00A50FC1">
      <w:pPr>
        <w:numPr>
          <w:ilvl w:val="0"/>
          <w:numId w:val="1"/>
        </w:numPr>
      </w:pPr>
      <w:r>
        <w:t>Cadrage CA/ gestion commerciale</w:t>
      </w:r>
    </w:p>
    <w:p w:rsidR="00A50FC1" w:rsidRDefault="00A50FC1" w:rsidP="00A50FC1">
      <w:r>
        <w:t>Stocks</w:t>
      </w:r>
    </w:p>
    <w:p w:rsidR="00A50FC1" w:rsidRDefault="00A50FC1" w:rsidP="00A50FC1">
      <w:pPr>
        <w:numPr>
          <w:ilvl w:val="0"/>
          <w:numId w:val="1"/>
        </w:numPr>
      </w:pPr>
      <w:proofErr w:type="gramStart"/>
      <w:r>
        <w:t>auriez</w:t>
      </w:r>
      <w:proofErr w:type="gramEnd"/>
      <w:r>
        <w:t xml:space="preserve">-vous les détails Excel des listing des stocks car je n’ai que le récapitulatif </w:t>
      </w:r>
    </w:p>
    <w:p w:rsidR="00A50FC1" w:rsidRDefault="00A50FC1" w:rsidP="00A50FC1">
      <w:r>
        <w:t>Trésorerie</w:t>
      </w:r>
    </w:p>
    <w:p w:rsidR="00A50FC1" w:rsidRDefault="00A50FC1" w:rsidP="00A50FC1">
      <w:pPr>
        <w:numPr>
          <w:ilvl w:val="0"/>
          <w:numId w:val="2"/>
        </w:numPr>
      </w:pPr>
      <w:proofErr w:type="gramStart"/>
      <w:r>
        <w:t>relevés</w:t>
      </w:r>
      <w:proofErr w:type="gramEnd"/>
      <w:r>
        <w:t xml:space="preserve"> de banques de septembre à décembre 2017</w:t>
      </w:r>
    </w:p>
    <w:p w:rsidR="00A50FC1" w:rsidRDefault="00A50FC1" w:rsidP="00A50FC1">
      <w:r>
        <w:t>Fournisseurs</w:t>
      </w:r>
    </w:p>
    <w:p w:rsidR="00A50FC1" w:rsidRDefault="00A50FC1" w:rsidP="00A50FC1">
      <w:pPr>
        <w:numPr>
          <w:ilvl w:val="0"/>
          <w:numId w:val="3"/>
        </w:numPr>
      </w:pPr>
      <w:proofErr w:type="spellStart"/>
      <w:proofErr w:type="gramStart"/>
      <w:r>
        <w:t>aar</w:t>
      </w:r>
      <w:proofErr w:type="spellEnd"/>
      <w:proofErr w:type="gramEnd"/>
      <w:r>
        <w:t xml:space="preserve">, </w:t>
      </w:r>
    </w:p>
    <w:p w:rsidR="00A50FC1" w:rsidRDefault="00A50FC1" w:rsidP="00A50FC1">
      <w:pPr>
        <w:numPr>
          <w:ilvl w:val="0"/>
          <w:numId w:val="3"/>
        </w:numPr>
      </w:pPr>
      <w:proofErr w:type="spellStart"/>
      <w:proofErr w:type="gramStart"/>
      <w:r>
        <w:t>fnp</w:t>
      </w:r>
      <w:proofErr w:type="spellEnd"/>
      <w:proofErr w:type="gramEnd"/>
      <w:r>
        <w:t xml:space="preserve">, </w:t>
      </w:r>
    </w:p>
    <w:p w:rsidR="00A50FC1" w:rsidRDefault="00A50FC1" w:rsidP="00A50FC1">
      <w:pPr>
        <w:numPr>
          <w:ilvl w:val="0"/>
          <w:numId w:val="3"/>
        </w:numPr>
      </w:pPr>
      <w:proofErr w:type="spellStart"/>
      <w:proofErr w:type="gramStart"/>
      <w:r>
        <w:t>cca</w:t>
      </w:r>
      <w:proofErr w:type="spellEnd"/>
      <w:proofErr w:type="gramEnd"/>
      <w:r>
        <w:t xml:space="preserve">, </w:t>
      </w:r>
    </w:p>
    <w:p w:rsidR="00A50FC1" w:rsidRDefault="00A50FC1" w:rsidP="00A50FC1">
      <w:r>
        <w:t>Personnel</w:t>
      </w:r>
    </w:p>
    <w:p w:rsidR="00A50FC1" w:rsidRDefault="00A50FC1" w:rsidP="00A50FC1">
      <w:pPr>
        <w:numPr>
          <w:ilvl w:val="0"/>
          <w:numId w:val="4"/>
        </w:numPr>
      </w:pPr>
      <w:proofErr w:type="gramStart"/>
      <w:r>
        <w:t>un</w:t>
      </w:r>
      <w:proofErr w:type="gramEnd"/>
      <w:r>
        <w:t xml:space="preserve"> état post-clôture pour voir l’apurement des rémunérations dues et des dettes sociales</w:t>
      </w:r>
    </w:p>
    <w:p w:rsidR="00A50FC1" w:rsidRDefault="00A50FC1" w:rsidP="00A50FC1">
      <w:pPr>
        <w:numPr>
          <w:ilvl w:val="0"/>
          <w:numId w:val="4"/>
        </w:numPr>
      </w:pPr>
      <w:proofErr w:type="gramStart"/>
      <w:r>
        <w:t>les</w:t>
      </w:r>
      <w:proofErr w:type="gramEnd"/>
      <w:r>
        <w:t xml:space="preserve"> bordereaux des dettes sociales,</w:t>
      </w:r>
    </w:p>
    <w:p w:rsidR="00A50FC1" w:rsidRDefault="00A50FC1" w:rsidP="00A50FC1">
      <w:pPr>
        <w:numPr>
          <w:ilvl w:val="0"/>
          <w:numId w:val="4"/>
        </w:numPr>
      </w:pPr>
      <w:r>
        <w:t xml:space="preserve">Bulletins de </w:t>
      </w:r>
      <w:proofErr w:type="gramStart"/>
      <w:r>
        <w:t>paie  de</w:t>
      </w:r>
      <w:proofErr w:type="gramEnd"/>
      <w:r>
        <w:t xml:space="preserve"> septembre et octobre, </w:t>
      </w:r>
    </w:p>
    <w:p w:rsidR="00A50FC1" w:rsidRDefault="00A50FC1" w:rsidP="00A50FC1">
      <w:pPr>
        <w:numPr>
          <w:ilvl w:val="0"/>
          <w:numId w:val="4"/>
        </w:numPr>
      </w:pPr>
      <w:proofErr w:type="gramStart"/>
      <w:r>
        <w:t>le</w:t>
      </w:r>
      <w:proofErr w:type="gramEnd"/>
      <w:r>
        <w:t xml:space="preserve"> LP de la période et l’état des charges sociales</w:t>
      </w:r>
    </w:p>
    <w:p w:rsidR="00A50FC1" w:rsidRDefault="00A50FC1" w:rsidP="00A50FC1">
      <w:r>
        <w:t>Fiscal</w:t>
      </w:r>
    </w:p>
    <w:p w:rsidR="00A50FC1" w:rsidRDefault="00A50FC1" w:rsidP="00A50FC1">
      <w:pPr>
        <w:numPr>
          <w:ilvl w:val="0"/>
          <w:numId w:val="4"/>
        </w:numPr>
      </w:pPr>
      <w:proofErr w:type="gramStart"/>
      <w:r>
        <w:t>les</w:t>
      </w:r>
      <w:proofErr w:type="gramEnd"/>
      <w:r>
        <w:t xml:space="preserve"> divers bordereaux fiscaux</w:t>
      </w:r>
    </w:p>
    <w:p w:rsidR="00A50FC1" w:rsidRDefault="00A50FC1" w:rsidP="00A50FC1">
      <w:pPr>
        <w:numPr>
          <w:ilvl w:val="0"/>
          <w:numId w:val="4"/>
        </w:numPr>
      </w:pPr>
      <w:proofErr w:type="gramStart"/>
      <w:r>
        <w:t>les</w:t>
      </w:r>
      <w:proofErr w:type="gramEnd"/>
      <w:r>
        <w:t xml:space="preserve"> divers bordereaux fiscaux,</w:t>
      </w:r>
    </w:p>
    <w:p w:rsidR="00A50FC1" w:rsidRDefault="00A50FC1" w:rsidP="00A50FC1">
      <w:pPr>
        <w:numPr>
          <w:ilvl w:val="0"/>
          <w:numId w:val="4"/>
        </w:numPr>
      </w:pPr>
      <w:proofErr w:type="gramStart"/>
      <w:r>
        <w:t>le</w:t>
      </w:r>
      <w:proofErr w:type="gramEnd"/>
      <w:r>
        <w:t xml:space="preserve"> calcul du résultat fiscal </w:t>
      </w:r>
    </w:p>
    <w:p w:rsidR="00A50FC1" w:rsidRDefault="00A50FC1" w:rsidP="00A50FC1">
      <w:pPr>
        <w:ind w:left="720"/>
      </w:pPr>
    </w:p>
    <w:p w:rsidR="00A50FC1" w:rsidRDefault="00A50FC1" w:rsidP="00A50FC1">
      <w:r>
        <w:t>Cycle Autres actif et passif.</w:t>
      </w:r>
    </w:p>
    <w:p w:rsidR="00A50FC1" w:rsidRDefault="00A50FC1" w:rsidP="00A50FC1">
      <w:pPr>
        <w:numPr>
          <w:ilvl w:val="0"/>
          <w:numId w:val="5"/>
        </w:numPr>
      </w:pPr>
      <w:r>
        <w:t>Reste à obtenir les réciprocités intra groupe (hormis ELIN’OR et SCI MERONE reçues mais non encore exploitée)</w:t>
      </w:r>
    </w:p>
    <w:p w:rsidR="00A50FC1" w:rsidRDefault="00A50FC1" w:rsidP="00A50FC1">
      <w:pPr>
        <w:numPr>
          <w:ilvl w:val="0"/>
          <w:numId w:val="5"/>
        </w:numPr>
      </w:pPr>
      <w:proofErr w:type="gramStart"/>
      <w:r>
        <w:t>les</w:t>
      </w:r>
      <w:proofErr w:type="gramEnd"/>
      <w:r>
        <w:t xml:space="preserve"> réciprocités intra groupe</w:t>
      </w:r>
    </w:p>
    <w:p w:rsidR="00A50FC1" w:rsidRDefault="00A50FC1" w:rsidP="00A50FC1"/>
    <w:p w:rsidR="00A50FC1" w:rsidRDefault="00A50FC1" w:rsidP="00A50FC1">
      <w:r>
        <w:t>Capitaux propres :</w:t>
      </w:r>
    </w:p>
    <w:p w:rsidR="00A50FC1" w:rsidRDefault="00A50FC1" w:rsidP="00A50FC1">
      <w:pPr>
        <w:numPr>
          <w:ilvl w:val="0"/>
          <w:numId w:val="5"/>
        </w:numPr>
      </w:pPr>
      <w:r>
        <w:t>PV d’affectation signé</w:t>
      </w:r>
    </w:p>
    <w:p w:rsidR="00A50FC1" w:rsidRDefault="00A50FC1" w:rsidP="00A50FC1">
      <w:pPr>
        <w:numPr>
          <w:ilvl w:val="0"/>
          <w:numId w:val="5"/>
        </w:numPr>
      </w:pPr>
      <w:r>
        <w:t>Capitaux propres inférieurs à la moitié du capital social. Capitaux propres non reconstitués.</w:t>
      </w:r>
    </w:p>
    <w:p w:rsidR="00A50FC1" w:rsidRDefault="00A50FC1" w:rsidP="00A50FC1"/>
    <w:p w:rsidR="00A50FC1" w:rsidRDefault="00A50FC1" w:rsidP="00A50FC1">
      <w:r>
        <w:t xml:space="preserve">Provisions pour Risque et charges : </w:t>
      </w:r>
    </w:p>
    <w:p w:rsidR="00A50FC1" w:rsidRDefault="00A50FC1" w:rsidP="00A50FC1">
      <w:pPr>
        <w:numPr>
          <w:ilvl w:val="0"/>
          <w:numId w:val="5"/>
        </w:numPr>
      </w:pPr>
      <w:r>
        <w:t xml:space="preserve">Aucune provision, le client, </w:t>
      </w:r>
      <w:proofErr w:type="spellStart"/>
      <w:r>
        <w:t>a-t-il</w:t>
      </w:r>
      <w:proofErr w:type="spellEnd"/>
      <w:r>
        <w:t xml:space="preserve"> reçu une réponse d’avocat éventuellement ?</w:t>
      </w:r>
    </w:p>
    <w:p w:rsidR="00A50FC1" w:rsidRDefault="00A50FC1" w:rsidP="00A50FC1"/>
    <w:p w:rsidR="00A50FC1" w:rsidRDefault="00A50FC1" w:rsidP="00A50FC1">
      <w:r>
        <w:t>Je reste à votre disposition pour toutes précisions,</w:t>
      </w:r>
    </w:p>
    <w:p w:rsidR="00A50FC1" w:rsidRDefault="00A50FC1" w:rsidP="00A50FC1">
      <w:r>
        <w:t>Bon courage</w:t>
      </w:r>
    </w:p>
    <w:p w:rsidR="00492B9C" w:rsidRDefault="00492B9C">
      <w:bookmarkStart w:id="0" w:name="_GoBack"/>
      <w:bookmarkEnd w:id="0"/>
    </w:p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4EDE"/>
    <w:multiLevelType w:val="hybridMultilevel"/>
    <w:tmpl w:val="E6AE5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E0660"/>
    <w:multiLevelType w:val="hybridMultilevel"/>
    <w:tmpl w:val="B45CB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0F6C6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A7113"/>
    <w:multiLevelType w:val="hybridMultilevel"/>
    <w:tmpl w:val="67689A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8482D"/>
    <w:multiLevelType w:val="hybridMultilevel"/>
    <w:tmpl w:val="6FFECC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03241"/>
    <w:multiLevelType w:val="hybridMultilevel"/>
    <w:tmpl w:val="97E6E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81"/>
    <w:rsid w:val="00282E99"/>
    <w:rsid w:val="00352581"/>
    <w:rsid w:val="00492B9C"/>
    <w:rsid w:val="00525FDD"/>
    <w:rsid w:val="00A5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DA6B2-476F-46A8-B0F4-E8016F2E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FC1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2</cp:revision>
  <dcterms:created xsi:type="dcterms:W3CDTF">2023-02-07T17:09:00Z</dcterms:created>
  <dcterms:modified xsi:type="dcterms:W3CDTF">2023-02-07T17:09:00Z</dcterms:modified>
</cp:coreProperties>
</file>